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pPr>
      <w:r w:rsidDel="00000000" w:rsidR="00000000" w:rsidRPr="00000000">
        <w:rPr>
          <w:rtl w:val="0"/>
        </w:rPr>
        <w:t xml:space="preserve">Quyidagi har bir bayonotni diqqat bilan o‘qing va sizning universitetingizda bu holat qanchalik amalga oshirilganini </w:t>
      </w:r>
      <w:r w:rsidDel="00000000" w:rsidR="00000000" w:rsidRPr="00000000">
        <w:rPr>
          <w:b w:val="1"/>
          <w:rtl w:val="0"/>
        </w:rPr>
        <w:t xml:space="preserve">5 ballik tizim</w:t>
      </w:r>
      <w:r w:rsidDel="00000000" w:rsidR="00000000" w:rsidRPr="00000000">
        <w:rPr>
          <w:rtl w:val="0"/>
        </w:rPr>
        <w:t xml:space="preserve"> asosida baholang:</w:t>
      </w:r>
    </w:p>
    <w:p w:rsidR="00000000" w:rsidDel="00000000" w:rsidP="00000000" w:rsidRDefault="00000000" w:rsidRPr="00000000" w14:paraId="00000002">
      <w:pPr>
        <w:spacing w:after="0" w:before="0" w:line="240" w:lineRule="auto"/>
        <w:rPr>
          <w:b w:val="1"/>
        </w:rPr>
      </w:pPr>
      <w:r w:rsidDel="00000000" w:rsidR="00000000" w:rsidRPr="00000000">
        <w:rPr>
          <w:b w:val="1"/>
          <w:rtl w:val="0"/>
        </w:rPr>
        <w:t xml:space="preserve">5 ball – A’lo (mukammal amalga oshirilgan)</w:t>
        <w:br w:type="textWrapping"/>
      </w:r>
    </w:p>
    <w:p w:rsidR="00000000" w:rsidDel="00000000" w:rsidP="00000000" w:rsidRDefault="00000000" w:rsidRPr="00000000" w14:paraId="00000003">
      <w:pPr>
        <w:spacing w:after="0" w:before="0" w:line="240" w:lineRule="auto"/>
        <w:rPr>
          <w:b w:val="1"/>
        </w:rPr>
      </w:pPr>
      <w:r w:rsidDel="00000000" w:rsidR="00000000" w:rsidRPr="00000000">
        <w:rPr>
          <w:b w:val="1"/>
          <w:rtl w:val="0"/>
        </w:rPr>
        <w:t xml:space="preserve">4 ball – Yaxshi (ko‘p hollarda ta’minlangan)</w:t>
        <w:br w:type="textWrapping"/>
      </w:r>
    </w:p>
    <w:p w:rsidR="00000000" w:rsidDel="00000000" w:rsidP="00000000" w:rsidRDefault="00000000" w:rsidRPr="00000000" w14:paraId="00000004">
      <w:pPr>
        <w:spacing w:after="0" w:before="0" w:line="240" w:lineRule="auto"/>
        <w:rPr>
          <w:b w:val="1"/>
        </w:rPr>
      </w:pPr>
      <w:r w:rsidDel="00000000" w:rsidR="00000000" w:rsidRPr="00000000">
        <w:rPr>
          <w:b w:val="1"/>
          <w:rtl w:val="0"/>
        </w:rPr>
        <w:t xml:space="preserve">3 ball – Qoniqarli (me’yor darajasida)</w:t>
        <w:br w:type="textWrapping"/>
      </w:r>
    </w:p>
    <w:p w:rsidR="00000000" w:rsidDel="00000000" w:rsidP="00000000" w:rsidRDefault="00000000" w:rsidRPr="00000000" w14:paraId="00000005">
      <w:pPr>
        <w:spacing w:after="0" w:before="0" w:line="240" w:lineRule="auto"/>
        <w:rPr>
          <w:b w:val="1"/>
        </w:rPr>
      </w:pPr>
      <w:r w:rsidDel="00000000" w:rsidR="00000000" w:rsidRPr="00000000">
        <w:rPr>
          <w:b w:val="1"/>
          <w:rtl w:val="0"/>
        </w:rPr>
        <w:t xml:space="preserve">2 ball – Kamchiliklar bor (faqat qisman ta’minlangan)</w:t>
        <w:br w:type="textWrapping"/>
      </w:r>
    </w:p>
    <w:p w:rsidR="00000000" w:rsidDel="00000000" w:rsidP="00000000" w:rsidRDefault="00000000" w:rsidRPr="00000000" w14:paraId="00000006">
      <w:pPr>
        <w:spacing w:after="0" w:before="0" w:line="240" w:lineRule="auto"/>
        <w:rPr>
          <w:b w:val="1"/>
        </w:rPr>
      </w:pPr>
      <w:r w:rsidDel="00000000" w:rsidR="00000000" w:rsidRPr="00000000">
        <w:rPr>
          <w:b w:val="1"/>
          <w:rtl w:val="0"/>
        </w:rPr>
        <w:t xml:space="preserve">1 ball – Yaxshilash talab etiladi (deyarli amalga oshirilmagan)</w:t>
      </w:r>
    </w:p>
    <w:p w:rsidR="00000000" w:rsidDel="00000000" w:rsidP="00000000" w:rsidRDefault="00000000" w:rsidRPr="00000000" w14:paraId="00000007">
      <w:pPr>
        <w:spacing w:after="0" w:before="0" w:line="240" w:lineRule="auto"/>
        <w:rPr/>
      </w:pPr>
      <w:r w:rsidDel="00000000" w:rsidR="00000000" w:rsidRPr="00000000">
        <w:rPr>
          <w:rtl w:val="0"/>
        </w:rPr>
        <w:t xml:space="preserve">Har bir bayonot uchun mos ballni belgilang.</w:t>
      </w:r>
    </w:p>
    <w:p w:rsidR="00000000" w:rsidDel="00000000" w:rsidP="00000000" w:rsidRDefault="00000000" w:rsidRPr="00000000" w14:paraId="00000008">
      <w:pPr>
        <w:spacing w:after="0" w:before="0" w:line="240" w:lineRule="auto"/>
        <w:rPr/>
      </w:pPr>
      <w:r w:rsidDel="00000000" w:rsidR="00000000" w:rsidRPr="00000000">
        <w:rPr>
          <w:b w:val="1"/>
          <w:rtl w:val="0"/>
        </w:rPr>
        <w:t xml:space="preserve">Faoliyatni yakunlaganingizdan so‘ng, jami ballarni qo‘shing va umumiy bahoni hisoblang.</w:t>
        <w:br w:type="textWrapping"/>
      </w:r>
      <w:r w:rsidDel="00000000" w:rsidR="00000000" w:rsidRPr="00000000">
        <w:rPr>
          <w:rtl w:val="0"/>
        </w:rPr>
        <w:t xml:space="preserve"> Bu sizga universitetingizdagi ichki sifatni ta’minlash tizimining kuchli va zaif tomonlarini aniqlashga yordam beradi.</w:t>
      </w:r>
    </w:p>
    <w:p w:rsidR="00000000" w:rsidDel="00000000" w:rsidP="00000000" w:rsidRDefault="00000000" w:rsidRPr="00000000" w14:paraId="00000009">
      <w:pPr>
        <w:rPr/>
      </w:pPr>
      <w:r w:rsidDel="00000000" w:rsidR="00000000" w:rsidRPr="00000000">
        <w:rPr>
          <w:rtl w:val="0"/>
        </w:rPr>
      </w:r>
    </w:p>
    <w:tbl>
      <w:tblPr>
        <w:tblStyle w:val="Table1"/>
        <w:tblW w:w="143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gridCol w:w="900"/>
        <w:gridCol w:w="1125"/>
        <w:gridCol w:w="975"/>
        <w:gridCol w:w="1110"/>
        <w:gridCol w:w="1215"/>
        <w:tblGridChange w:id="0">
          <w:tblGrid>
            <w:gridCol w:w="9060"/>
            <w:gridCol w:w="900"/>
            <w:gridCol w:w="1125"/>
            <w:gridCol w:w="975"/>
            <w:gridCol w:w="1110"/>
            <w:gridCol w:w="12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Sifat standartlari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Muassasada rasmiy sifatni ta'minlash siyosati mavjud va u jamoatchilik uchun ochiq.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Sifatni ta'minlash bo‘yicha jarayonlar muassasa bo‘ylab to‘liq hujjatlashtirilgan.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Ichki sifatni ta'minlash bo‘limi yoki qo‘mitasi muntazam faoliyat yuritmoqda.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O‘quv dasturlari modul asosida va natijaga yo‘naltirilgan yondashuvda tuzilgan.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O‘quv natijalari aniq belgilangan va davlat standartlari bilan muvofiqlashtirilgan.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 Dastur loyihalash va tasdiqlash jarayonida manfaatdor tomonlar (talabalar, ish beruvchilar) ishtirok etadi.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t xml:space="preserve"> Dasturlar mehnat bozori ehtiyojlari va fikr-mulohazalar asosida doimiy ravishda yangilanadi.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t xml:space="preserve">Talabaga yo‘naltirilgan ta’lim metodlari muntazam qo‘llaniladi.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Formativ va summativ baholash tizimi mavjud va samarali ishlaydi.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Baholash mezonlari oshkora va izchil qo‘llaniladi.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t xml:space="preserve">Talabalar o‘z natijalari bo‘yicha o‘z vaqtida va samarali fikr-mulohaza oladi.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 Barcha o‘qituvchilar belgilangan malaka talablariga javob beradi.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Akademik xodimlar uchun doimiy malaka oshirish imkoniyatlari yaratilgan.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Dars berish sifatini baholash va rivojlantirish mexanizmlari amalda mavjud.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Akademik maslahat va kasbiy yo‘naltirish xizmatlari tashkil etilgan.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Talabalar va o‘qituvchilar uchun zarur raqamli vositalar va IT xizmatlari mavjud.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t xml:space="preserve">Kutubxona resurslari (jismoniy va onlayn) yetarli darajada ta’minlangan.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Talabalar uchun psixologik yordam yoki sog‘lomlashtirish xizmatlari ko‘rsatiladi.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Talabalar yutuqlari va natijalari bo‘yicha ma’lumotlar tizimli tarzda to‘planadi va tahlil qilinadi.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Sifatni ta’minlashga oid axborot (dasturlar, natijalar, baholar) jamoatchilikka ochiq holda taqdim etiladi.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t xml:space="preserve">Qarorlar asoslangan ma’lumotlar va rasmiy hujjatlar asosida qabul qilinadi.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t xml:space="preserve">So‘nggi 5 yil ichida muassasa tashqi akkreditatsiyadan muvaffaqiyatli o‘tgan.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t xml:space="preserve">Tashqi baholash natijalari ichki islohotlarni rejalashtirish va amalga oshirishda foydalaniladi.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Sifat agentliklari tomonidan berilgan tavsiyalar jamoatchilikka e’lon qilinadi.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Baho:__________________</w:t>
      </w:r>
    </w:p>
    <w:p w:rsidR="00000000" w:rsidDel="00000000" w:rsidP="00000000" w:rsidRDefault="00000000" w:rsidRPr="00000000" w14:paraId="000000A2">
      <w:pPr>
        <w:rPr/>
      </w:pPr>
      <w:r w:rsidDel="00000000" w:rsidR="00000000" w:rsidRPr="00000000">
        <w:rPr>
          <w:rtl w:val="0"/>
        </w:rPr>
        <w:br w:type="textWrapping"/>
      </w:r>
    </w:p>
    <w:p w:rsidR="00000000" w:rsidDel="00000000" w:rsidP="00000000" w:rsidRDefault="00000000" w:rsidRPr="00000000" w14:paraId="000000A3">
      <w:pPr>
        <w:rPr/>
      </w:pPr>
      <w:r w:rsidDel="00000000" w:rsidR="00000000" w:rsidRPr="00000000">
        <w:rPr>
          <w:rtl w:val="0"/>
        </w:rPr>
      </w:r>
    </w:p>
    <w:sectPr>
      <w:headerReference r:id="rId6" w:type="default"/>
      <w:foot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spacing w:after="160" w:line="256" w:lineRule="auto"/>
      <w:rPr/>
    </w:pPr>
    <w:r w:rsidDel="00000000" w:rsidR="00000000" w:rsidRPr="00000000">
      <w:rPr>
        <w:rFonts w:ascii="Calibri" w:cs="Calibri" w:eastAsia="Calibri" w:hAnsi="Calibri"/>
        <w:i w:val="1"/>
        <w:color w:val="262626"/>
        <w:sz w:val="16"/>
        <w:szCs w:val="16"/>
        <w:rtl w:val="0"/>
      </w:rPr>
      <w:t xml:space="preserve">“Co-funded by the European Union. Views and opinions expressed are however those of the author(s) only and do not necessarily reflect those of the European Union. Neither the European Union nor the granting authority can be.”</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rPr/>
    </w:pPr>
    <w:r w:rsidDel="00000000" w:rsidR="00000000" w:rsidRPr="00000000">
      <w:rPr/>
      <w:drawing>
        <wp:inline distB="114300" distT="114300" distL="114300" distR="114300">
          <wp:extent cx="5715000" cy="1714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15000" cy="1714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