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3.46456692913375" w:right="-419.5275590551165" w:firstLine="0"/>
        <w:jc w:val="both"/>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871538</wp:posOffset>
            </wp:positionH>
            <wp:positionV relativeFrom="page">
              <wp:posOffset>504825</wp:posOffset>
            </wp:positionV>
            <wp:extent cx="3595688" cy="914400"/>
            <wp:effectExtent b="0" l="0" r="0" t="0"/>
            <wp:wrapNone/>
            <wp:docPr id="1" name="image2.png"/>
            <a:graphic>
              <a:graphicData uri="http://schemas.openxmlformats.org/drawingml/2006/picture">
                <pic:pic>
                  <pic:nvPicPr>
                    <pic:cNvPr id="0" name="image2.png"/>
                    <pic:cNvPicPr preferRelativeResize="0"/>
                  </pic:nvPicPr>
                  <pic:blipFill>
                    <a:blip r:embed="rId6"/>
                    <a:srcRect b="18644" l="0" r="4430" t="0"/>
                    <a:stretch>
                      <a:fillRect/>
                    </a:stretch>
                  </pic:blipFill>
                  <pic:spPr>
                    <a:xfrm>
                      <a:off x="0" y="0"/>
                      <a:ext cx="3595688" cy="914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40" w:before="240" w:lineRule="auto"/>
        <w:ind w:left="-283.46456692913375" w:right="-419.5275590551165" w:firstLine="0"/>
        <w:jc w:val="both"/>
        <w:rPr>
          <w:b w:val="1"/>
        </w:rPr>
      </w:pPr>
      <w:r w:rsidDel="00000000" w:rsidR="00000000" w:rsidRPr="00000000">
        <w:rPr>
          <w:b w:val="1"/>
          <w:rtl w:val="0"/>
        </w:rPr>
        <w:br w:type="textWrapping"/>
      </w:r>
    </w:p>
    <w:p w:rsidR="00000000" w:rsidDel="00000000" w:rsidP="00000000" w:rsidRDefault="00000000" w:rsidRPr="00000000" w14:paraId="00000003">
      <w:pPr>
        <w:spacing w:after="240" w:before="240" w:lineRule="auto"/>
        <w:ind w:left="-283.46456692913375" w:right="-419.5275590551165" w:firstLine="0"/>
        <w:jc w:val="both"/>
        <w:rPr/>
      </w:pPr>
      <w:r w:rsidDel="00000000" w:rsidR="00000000" w:rsidRPr="00000000">
        <w:rPr>
          <w:rtl w:val="0"/>
        </w:rPr>
      </w:r>
    </w:p>
    <w:p w:rsidR="00000000" w:rsidDel="00000000" w:rsidP="00000000" w:rsidRDefault="00000000" w:rsidRPr="00000000" w14:paraId="00000004">
      <w:pPr>
        <w:spacing w:after="240" w:before="240" w:lineRule="auto"/>
        <w:ind w:left="-283.46456692913375" w:right="-419.5275590551165" w:firstLine="0"/>
        <w:jc w:val="both"/>
        <w:rPr/>
      </w:pPr>
      <w:r w:rsidDel="00000000" w:rsidR="00000000" w:rsidRPr="00000000">
        <w:rPr>
          <w:rtl w:val="0"/>
        </w:rPr>
        <w:t xml:space="preserve">Quyida berilgan </w:t>
      </w:r>
      <w:r w:rsidDel="00000000" w:rsidR="00000000" w:rsidRPr="00000000">
        <w:rPr>
          <w:i w:val="1"/>
          <w:rtl w:val="0"/>
        </w:rPr>
        <w:t xml:space="preserve">Yevropa standartlari (ESG 2015 – 1-qism)</w:t>
      </w:r>
      <w:r w:rsidDel="00000000" w:rsidR="00000000" w:rsidRPr="00000000">
        <w:rPr>
          <w:rtl w:val="0"/>
        </w:rPr>
        <w:t xml:space="preserve"> va </w:t>
      </w:r>
      <w:r w:rsidDel="00000000" w:rsidR="00000000" w:rsidRPr="00000000">
        <w:rPr>
          <w:i w:val="1"/>
          <w:rtl w:val="0"/>
        </w:rPr>
        <w:t xml:space="preserve">O‘zbekistonning oliy ta’limdagi milliy sifat standartlari</w:t>
      </w:r>
      <w:r w:rsidDel="00000000" w:rsidR="00000000" w:rsidRPr="00000000">
        <w:rPr>
          <w:rtl w:val="0"/>
        </w:rPr>
        <w:t xml:space="preserve"> bilan tanishing. So‘ng, ularning o‘xshash va farqli jihatlarini </w:t>
      </w:r>
      <w:r w:rsidDel="00000000" w:rsidR="00000000" w:rsidRPr="00000000">
        <w:rPr>
          <w:b w:val="1"/>
          <w:rtl w:val="0"/>
        </w:rPr>
        <w:t xml:space="preserve">Venn diagrammasi</w:t>
      </w:r>
      <w:r w:rsidDel="00000000" w:rsidR="00000000" w:rsidRPr="00000000">
        <w:rPr>
          <w:rtl w:val="0"/>
        </w:rPr>
        <w:t xml:space="preserve"> yordamida taqqoslang:</w:t>
      </w:r>
    </w:p>
    <w:p w:rsidR="00000000" w:rsidDel="00000000" w:rsidP="00000000" w:rsidRDefault="00000000" w:rsidRPr="00000000" w14:paraId="00000005">
      <w:pPr>
        <w:numPr>
          <w:ilvl w:val="0"/>
          <w:numId w:val="1"/>
        </w:numPr>
        <w:spacing w:after="0" w:afterAutospacing="0" w:before="240" w:lineRule="auto"/>
        <w:ind w:left="-283.46456692913375" w:right="-419.5275590551165" w:firstLine="0"/>
        <w:jc w:val="both"/>
      </w:pPr>
      <w:r w:rsidDel="00000000" w:rsidR="00000000" w:rsidRPr="00000000">
        <w:rPr>
          <w:b w:val="1"/>
          <w:rtl w:val="0"/>
        </w:rPr>
        <w:t xml:space="preserve">Chap doira</w:t>
      </w:r>
      <w:r w:rsidDel="00000000" w:rsidR="00000000" w:rsidRPr="00000000">
        <w:rPr>
          <w:rtl w:val="0"/>
        </w:rPr>
        <w:t xml:space="preserve">ga faqat </w:t>
      </w:r>
      <w:r w:rsidDel="00000000" w:rsidR="00000000" w:rsidRPr="00000000">
        <w:rPr>
          <w:b w:val="1"/>
          <w:rtl w:val="0"/>
        </w:rPr>
        <w:t xml:space="preserve">Yevropa standartlariga xos</w:t>
      </w:r>
      <w:r w:rsidDel="00000000" w:rsidR="00000000" w:rsidRPr="00000000">
        <w:rPr>
          <w:rtl w:val="0"/>
        </w:rPr>
        <w:t xml:space="preserve"> bo‘lgan jihatlarni yozing.</w:t>
        <w:br w:type="textWrapping"/>
      </w:r>
    </w:p>
    <w:p w:rsidR="00000000" w:rsidDel="00000000" w:rsidP="00000000" w:rsidRDefault="00000000" w:rsidRPr="00000000" w14:paraId="00000006">
      <w:pPr>
        <w:numPr>
          <w:ilvl w:val="0"/>
          <w:numId w:val="1"/>
        </w:numPr>
        <w:spacing w:after="0" w:afterAutospacing="0" w:before="0" w:beforeAutospacing="0" w:lineRule="auto"/>
        <w:ind w:left="-283.46456692913375" w:right="-419.5275590551165" w:firstLine="0"/>
        <w:jc w:val="both"/>
      </w:pPr>
      <w:r w:rsidDel="00000000" w:rsidR="00000000" w:rsidRPr="00000000">
        <w:rPr>
          <w:b w:val="1"/>
          <w:rtl w:val="0"/>
        </w:rPr>
        <w:t xml:space="preserve">O‘ng doira</w:t>
      </w:r>
      <w:r w:rsidDel="00000000" w:rsidR="00000000" w:rsidRPr="00000000">
        <w:rPr>
          <w:rtl w:val="0"/>
        </w:rPr>
        <w:t xml:space="preserve">ga esa faqat </w:t>
      </w:r>
      <w:r w:rsidDel="00000000" w:rsidR="00000000" w:rsidRPr="00000000">
        <w:rPr>
          <w:b w:val="1"/>
          <w:rtl w:val="0"/>
        </w:rPr>
        <w:t xml:space="preserve">O‘zbekiston standartlariga xos</w:t>
      </w:r>
      <w:r w:rsidDel="00000000" w:rsidR="00000000" w:rsidRPr="00000000">
        <w:rPr>
          <w:rtl w:val="0"/>
        </w:rPr>
        <w:t xml:space="preserve"> bo‘lgan jihatlarni yozing.</w:t>
        <w:br w:type="textWrapping"/>
      </w:r>
    </w:p>
    <w:p w:rsidR="00000000" w:rsidDel="00000000" w:rsidP="00000000" w:rsidRDefault="00000000" w:rsidRPr="00000000" w14:paraId="00000007">
      <w:pPr>
        <w:numPr>
          <w:ilvl w:val="0"/>
          <w:numId w:val="1"/>
        </w:numPr>
        <w:spacing w:after="240" w:before="0" w:beforeAutospacing="0" w:lineRule="auto"/>
        <w:ind w:left="-283.46456692913375" w:right="-419.5275590551165" w:firstLine="0"/>
        <w:jc w:val="both"/>
      </w:pPr>
      <w:r w:rsidDel="00000000" w:rsidR="00000000" w:rsidRPr="00000000">
        <w:rPr>
          <w:b w:val="1"/>
          <w:rtl w:val="0"/>
        </w:rPr>
        <w:t xml:space="preserve">O‘rtadagi kesishgan qismga</w:t>
      </w:r>
      <w:r w:rsidDel="00000000" w:rsidR="00000000" w:rsidRPr="00000000">
        <w:rPr>
          <w:rtl w:val="0"/>
        </w:rPr>
        <w:t xml:space="preserve"> esa </w:t>
      </w:r>
      <w:r w:rsidDel="00000000" w:rsidR="00000000" w:rsidRPr="00000000">
        <w:rPr>
          <w:b w:val="1"/>
          <w:rtl w:val="0"/>
        </w:rPr>
        <w:t xml:space="preserve">ikkalasiga xos umumiy jihatlarni</w:t>
      </w:r>
      <w:r w:rsidDel="00000000" w:rsidR="00000000" w:rsidRPr="00000000">
        <w:rPr>
          <w:rtl w:val="0"/>
        </w:rPr>
        <w:t xml:space="preserve"> yozing.</w:t>
        <w:br w:type="textWrapping"/>
      </w:r>
    </w:p>
    <w:p w:rsidR="00000000" w:rsidDel="00000000" w:rsidP="00000000" w:rsidRDefault="00000000" w:rsidRPr="00000000" w14:paraId="00000008">
      <w:pPr>
        <w:spacing w:after="240" w:before="240" w:lineRule="auto"/>
        <w:ind w:left="-283.46456692913375" w:right="-419.5275590551165" w:firstLine="0"/>
        <w:jc w:val="both"/>
        <w:rPr/>
      </w:pPr>
      <w:r w:rsidDel="00000000" w:rsidR="00000000" w:rsidRPr="00000000">
        <w:rPr>
          <w:rtl w:val="0"/>
        </w:rPr>
        <w:t xml:space="preserve">Iloji boricha aniq va tushunarli taqqoslashga harakat qiling. Ushbu mashq orqali siz oliy ta’limdagi sifatni ta’minlash tizimlarining o‘xshashlik va farqlarini yaxshiroq tushunib olasiz.</w:t>
      </w:r>
    </w:p>
    <w:p w:rsidR="00000000" w:rsidDel="00000000" w:rsidP="00000000" w:rsidRDefault="00000000" w:rsidRPr="00000000" w14:paraId="00000009">
      <w:pPr>
        <w:ind w:left="-283.46456692913375" w:right="-419.5275590551165" w:firstLine="0"/>
        <w:jc w:val="both"/>
        <w:rPr/>
      </w:pPr>
      <w:r w:rsidDel="00000000" w:rsidR="00000000" w:rsidRPr="00000000">
        <w:rPr>
          <w:rtl w:val="0"/>
        </w:rPr>
      </w:r>
    </w:p>
    <w:p w:rsidR="00000000" w:rsidDel="00000000" w:rsidP="00000000" w:rsidRDefault="00000000" w:rsidRPr="00000000" w14:paraId="0000000A">
      <w:pPr>
        <w:spacing w:after="240" w:before="240" w:lineRule="auto"/>
        <w:ind w:left="-283.46456692913375" w:right="-419.5275590551165" w:firstLine="0"/>
        <w:jc w:val="both"/>
        <w:rPr>
          <w:b w:val="1"/>
          <w:sz w:val="26"/>
          <w:szCs w:val="26"/>
        </w:rPr>
      </w:pPr>
      <w:r w:rsidDel="00000000" w:rsidR="00000000" w:rsidRPr="00000000">
        <w:rPr>
          <w:b w:val="1"/>
          <w:sz w:val="26"/>
          <w:szCs w:val="26"/>
          <w:rtl w:val="0"/>
        </w:rPr>
        <w:t xml:space="preserve">I. Yevropa Sifatni Ta’minlash Standartlari va Yo‘riqnomalari (ESG 2015 – 1-qism: Ichki Sifatni Ta’minlash)</w:t>
      </w:r>
    </w:p>
    <w:p w:rsidR="00000000" w:rsidDel="00000000" w:rsidP="00000000" w:rsidRDefault="00000000" w:rsidRPr="00000000" w14:paraId="0000000B">
      <w:pPr>
        <w:spacing w:after="240" w:before="240" w:lineRule="auto"/>
        <w:ind w:left="-283.46456692913375" w:right="-419.5275590551165" w:firstLine="0"/>
        <w:jc w:val="both"/>
        <w:rPr/>
      </w:pPr>
      <w:r w:rsidDel="00000000" w:rsidR="00000000" w:rsidRPr="00000000">
        <w:rPr>
          <w:b w:val="1"/>
          <w:rtl w:val="0"/>
        </w:rPr>
        <w:t xml:space="preserve">1.1 Sifatni ta’minlash siyosati</w:t>
        <w:br w:type="textWrapping"/>
      </w:r>
      <w:r w:rsidDel="00000000" w:rsidR="00000000" w:rsidRPr="00000000">
        <w:rPr>
          <w:rtl w:val="0"/>
        </w:rPr>
        <w:t xml:space="preserve"> Oliy ta’lim muassasalari aniq sifat siyosati va tartiblariga ega bo‘lishi, rahbariyat tomonidan qo‘llab-quvvatlanishi va keng jamoa tomonidan bo‘lishilishi kerak.</w:t>
      </w:r>
    </w:p>
    <w:p w:rsidR="00000000" w:rsidDel="00000000" w:rsidP="00000000" w:rsidRDefault="00000000" w:rsidRPr="00000000" w14:paraId="0000000C">
      <w:pPr>
        <w:spacing w:after="240" w:before="240" w:lineRule="auto"/>
        <w:ind w:left="-283.46456692913375" w:right="-419.5275590551165" w:firstLine="0"/>
        <w:jc w:val="both"/>
        <w:rPr/>
      </w:pPr>
      <w:r w:rsidDel="00000000" w:rsidR="00000000" w:rsidRPr="00000000">
        <w:rPr>
          <w:b w:val="1"/>
          <w:rtl w:val="0"/>
        </w:rPr>
        <w:t xml:space="preserve">1.2 Dasturlarni loyihalash va tasdiqlash</w:t>
        <w:br w:type="textWrapping"/>
      </w:r>
      <w:r w:rsidDel="00000000" w:rsidR="00000000" w:rsidRPr="00000000">
        <w:rPr>
          <w:rtl w:val="0"/>
        </w:rPr>
        <w:t xml:space="preserve"> Dasturlar aniq o‘quv natijalari, talabaga yo‘naltirilgan yondashuv va malaka doirasi bilan mos keladigan tarzda loyihalanishi lozim.</w:t>
      </w:r>
    </w:p>
    <w:p w:rsidR="00000000" w:rsidDel="00000000" w:rsidP="00000000" w:rsidRDefault="00000000" w:rsidRPr="00000000" w14:paraId="0000000D">
      <w:pPr>
        <w:spacing w:after="240" w:before="240" w:lineRule="auto"/>
        <w:ind w:left="-283.46456692913375" w:right="-419.5275590551165" w:firstLine="0"/>
        <w:jc w:val="both"/>
        <w:rPr/>
      </w:pPr>
      <w:r w:rsidDel="00000000" w:rsidR="00000000" w:rsidRPr="00000000">
        <w:rPr>
          <w:b w:val="1"/>
          <w:rtl w:val="0"/>
        </w:rPr>
        <w:t xml:space="preserve">1.3 Talabaga yo‘naltirilgan o‘qitish, o‘rganish va baholash</w:t>
        <w:br w:type="textWrapping"/>
      </w:r>
      <w:r w:rsidDel="00000000" w:rsidR="00000000" w:rsidRPr="00000000">
        <w:rPr>
          <w:rtl w:val="0"/>
        </w:rPr>
        <w:t xml:space="preserve"> Faol o‘rganish, adolatli va shaffof baholash hamda turli talabalar ehtiyojlarini qo‘llab-quvvatlash ta’minlanadi.</w:t>
      </w:r>
    </w:p>
    <w:p w:rsidR="00000000" w:rsidDel="00000000" w:rsidP="00000000" w:rsidRDefault="00000000" w:rsidRPr="00000000" w14:paraId="0000000E">
      <w:pPr>
        <w:spacing w:after="240" w:before="240" w:lineRule="auto"/>
        <w:ind w:left="-283.46456692913375" w:right="-419.5275590551165" w:firstLine="0"/>
        <w:jc w:val="both"/>
        <w:rPr/>
      </w:pPr>
      <w:r w:rsidDel="00000000" w:rsidR="00000000" w:rsidRPr="00000000">
        <w:rPr>
          <w:b w:val="1"/>
          <w:rtl w:val="0"/>
        </w:rPr>
        <w:t xml:space="preserve">1.4 Talabalarni qabul qilish, o‘sishini kuzatish, tan olish va sertifikatlash</w:t>
        <w:br w:type="textWrapping"/>
      </w:r>
      <w:r w:rsidDel="00000000" w:rsidR="00000000" w:rsidRPr="00000000">
        <w:rPr>
          <w:rtl w:val="0"/>
        </w:rPr>
        <w:t xml:space="preserve"> Talabalarni qabul qilish, avvalgi o‘qish natijalarini tan olish va o‘quv natijalariga mos sertifikatlarni berish mezonlari shaffof bo‘lishi kerak.</w:t>
      </w:r>
    </w:p>
    <w:p w:rsidR="00000000" w:rsidDel="00000000" w:rsidP="00000000" w:rsidRDefault="00000000" w:rsidRPr="00000000" w14:paraId="0000000F">
      <w:pPr>
        <w:spacing w:after="240" w:before="240" w:lineRule="auto"/>
        <w:ind w:left="-283.46456692913375" w:right="-419.5275590551165" w:firstLine="0"/>
        <w:jc w:val="both"/>
        <w:rPr/>
      </w:pPr>
      <w:r w:rsidDel="00000000" w:rsidR="00000000" w:rsidRPr="00000000">
        <w:rPr>
          <w:b w:val="1"/>
          <w:rtl w:val="0"/>
        </w:rPr>
        <w:t xml:space="preserve">1.5 O‘qituvchilar</w:t>
        <w:br w:type="textWrapping"/>
      </w:r>
      <w:r w:rsidDel="00000000" w:rsidR="00000000" w:rsidRPr="00000000">
        <w:rPr>
          <w:rtl w:val="0"/>
        </w:rPr>
        <w:t xml:space="preserve"> Oliy ta’lim muassasalari malakali o‘qituvchilarni ta’minlashi va ularning kasbiy rivoji uchun imkoniyatlar yaratishi kerak.</w:t>
      </w:r>
    </w:p>
    <w:p w:rsidR="00000000" w:rsidDel="00000000" w:rsidP="00000000" w:rsidRDefault="00000000" w:rsidRPr="00000000" w14:paraId="00000010">
      <w:pPr>
        <w:spacing w:after="240" w:before="240" w:lineRule="auto"/>
        <w:ind w:left="-283.46456692913375" w:right="-419.5275590551165" w:firstLine="0"/>
        <w:jc w:val="both"/>
        <w:rPr/>
      </w:pPr>
      <w:r w:rsidDel="00000000" w:rsidR="00000000" w:rsidRPr="00000000">
        <w:rPr>
          <w:b w:val="1"/>
          <w:rtl w:val="0"/>
        </w:rPr>
        <w:t xml:space="preserve">1.6 O‘quv resurslari va talabalarni qo‘llab-quvvatlash</w:t>
        <w:br w:type="textWrapping"/>
      </w:r>
      <w:r w:rsidDel="00000000" w:rsidR="00000000" w:rsidRPr="00000000">
        <w:rPr>
          <w:rtl w:val="0"/>
        </w:rPr>
        <w:t xml:space="preserve"> Kutubxonalar, axborot texnologiyalari va boshqa yordamchi xizmatlarni o‘z ichiga olgan yetarli resurslar taqdim etilishi lozim.</w:t>
      </w:r>
    </w:p>
    <w:p w:rsidR="00000000" w:rsidDel="00000000" w:rsidP="00000000" w:rsidRDefault="00000000" w:rsidRPr="00000000" w14:paraId="00000011">
      <w:pPr>
        <w:spacing w:after="240" w:before="240" w:lineRule="auto"/>
        <w:ind w:left="-283.46456692913375" w:right="-419.5275590551165" w:firstLine="0"/>
        <w:jc w:val="both"/>
        <w:rPr/>
      </w:pPr>
      <w:r w:rsidDel="00000000" w:rsidR="00000000" w:rsidRPr="00000000">
        <w:rPr>
          <w:b w:val="1"/>
          <w:rtl w:val="0"/>
        </w:rPr>
        <w:t xml:space="preserve">1.7 Ma’lumotlar boshqaruvi</w:t>
        <w:br w:type="textWrapping"/>
      </w:r>
      <w:r w:rsidDel="00000000" w:rsidR="00000000" w:rsidRPr="00000000">
        <w:rPr>
          <w:rtl w:val="0"/>
        </w:rPr>
        <w:t xml:space="preserve"> Talabalar natijalari, bitiruvchilar bandligi va boshqa ma’lumotlarni ishonchli to‘plash va tahlil qilish orqali qarorlar qabul qilinadi.</w:t>
      </w:r>
    </w:p>
    <w:p w:rsidR="00000000" w:rsidDel="00000000" w:rsidP="00000000" w:rsidRDefault="00000000" w:rsidRPr="00000000" w14:paraId="00000012">
      <w:pPr>
        <w:spacing w:after="240" w:before="240" w:lineRule="auto"/>
        <w:ind w:left="-283.46456692913375" w:right="-419.5275590551165" w:firstLine="0"/>
        <w:jc w:val="both"/>
        <w:rPr/>
      </w:pPr>
      <w:r w:rsidDel="00000000" w:rsidR="00000000" w:rsidRPr="00000000">
        <w:rPr>
          <w:b w:val="1"/>
          <w:rtl w:val="0"/>
        </w:rPr>
        <w:t xml:space="preserve">1.8 Ochiq axborot</w:t>
        <w:br w:type="textWrapping"/>
      </w:r>
      <w:r w:rsidDel="00000000" w:rsidR="00000000" w:rsidRPr="00000000">
        <w:rPr>
          <w:rtl w:val="0"/>
        </w:rPr>
        <w:t xml:space="preserve"> Dasturlar, o‘quv natijalari va sifatni ta’minlash jarayonlari bo‘yicha aniq va ommaga ochiq axborot e’lon qilinadi.</w:t>
      </w:r>
    </w:p>
    <w:p w:rsidR="00000000" w:rsidDel="00000000" w:rsidP="00000000" w:rsidRDefault="00000000" w:rsidRPr="00000000" w14:paraId="00000013">
      <w:pPr>
        <w:spacing w:after="240" w:before="240" w:lineRule="auto"/>
        <w:ind w:left="-283.46456692913375" w:right="-419.5275590551165" w:firstLine="0"/>
        <w:jc w:val="both"/>
        <w:rPr/>
      </w:pPr>
      <w:r w:rsidDel="00000000" w:rsidR="00000000" w:rsidRPr="00000000">
        <w:rPr>
          <w:b w:val="1"/>
          <w:rtl w:val="0"/>
        </w:rPr>
        <w:t xml:space="preserve">1.9 Dasturlarni uzluksiz monitoringi va davriy ko‘rib chiqish</w:t>
        <w:br w:type="textWrapping"/>
      </w:r>
      <w:r w:rsidDel="00000000" w:rsidR="00000000" w:rsidRPr="00000000">
        <w:rPr>
          <w:rtl w:val="0"/>
        </w:rPr>
        <w:t xml:space="preserve"> Dasturlarni muntazam ichki tahlil qilish orqali ularning dolzarbligi, samaradorligi va doimiy rivojlanishi ta’minlanadi.</w:t>
      </w:r>
    </w:p>
    <w:p w:rsidR="00000000" w:rsidDel="00000000" w:rsidP="00000000" w:rsidRDefault="00000000" w:rsidRPr="00000000" w14:paraId="00000014">
      <w:pPr>
        <w:spacing w:after="240" w:before="240" w:lineRule="auto"/>
        <w:ind w:left="-283.46456692913375" w:right="-419.5275590551165" w:firstLine="0"/>
        <w:jc w:val="both"/>
        <w:rPr/>
      </w:pPr>
      <w:r w:rsidDel="00000000" w:rsidR="00000000" w:rsidRPr="00000000">
        <w:rPr>
          <w:b w:val="1"/>
          <w:rtl w:val="0"/>
        </w:rPr>
        <w:t xml:space="preserve">1.10 Tashqi sifat nazoratining tsiklik baholanishi</w:t>
        <w:br w:type="textWrapping"/>
      </w:r>
      <w:r w:rsidDel="00000000" w:rsidR="00000000" w:rsidRPr="00000000">
        <w:rPr>
          <w:rtl w:val="0"/>
        </w:rPr>
        <w:t xml:space="preserve"> Muassasalar doimiy takomillashtirish jarayonining bir qismi sifatida tashqi baholovdan o‘tib turishi kerak.</w:t>
      </w:r>
    </w:p>
    <w:p w:rsidR="00000000" w:rsidDel="00000000" w:rsidP="00000000" w:rsidRDefault="00000000" w:rsidRPr="00000000" w14:paraId="00000015">
      <w:pPr>
        <w:spacing w:after="240" w:before="240" w:lineRule="auto"/>
        <w:ind w:left="-283.46456692913375" w:right="-419.5275590551165" w:firstLine="0"/>
        <w:jc w:val="both"/>
        <w:rPr/>
      </w:pPr>
      <w:r w:rsidDel="00000000" w:rsidR="00000000" w:rsidRPr="00000000">
        <w:rPr>
          <w:rtl w:val="0"/>
        </w:rPr>
      </w:r>
    </w:p>
    <w:p w:rsidR="00000000" w:rsidDel="00000000" w:rsidP="00000000" w:rsidRDefault="00000000" w:rsidRPr="00000000" w14:paraId="00000016">
      <w:pPr>
        <w:spacing w:after="240" w:before="240" w:lineRule="auto"/>
        <w:ind w:left="-283.46456692913375" w:right="-419.5275590551165" w:firstLine="0"/>
        <w:jc w:val="both"/>
        <w:rPr>
          <w:b w:val="1"/>
          <w:sz w:val="26"/>
          <w:szCs w:val="26"/>
        </w:rPr>
      </w:pPr>
      <w:r w:rsidDel="00000000" w:rsidR="00000000" w:rsidRPr="00000000">
        <w:rPr>
          <w:b w:val="1"/>
          <w:sz w:val="26"/>
          <w:szCs w:val="26"/>
          <w:rtl w:val="0"/>
        </w:rPr>
        <w:t xml:space="preserve">II. O‘zbekiston oliy ta’limidagi milliy sifat standartlari (Oliy ta’lim vazirligi hujjatlari asosida)</w:t>
      </w:r>
    </w:p>
    <w:p w:rsidR="00000000" w:rsidDel="00000000" w:rsidP="00000000" w:rsidRDefault="00000000" w:rsidRPr="00000000" w14:paraId="00000017">
      <w:pPr>
        <w:spacing w:after="240" w:before="240" w:lineRule="auto"/>
        <w:ind w:left="-283.46456692913375" w:right="-419.5275590551165" w:firstLine="0"/>
        <w:jc w:val="both"/>
        <w:rPr/>
      </w:pPr>
      <w:r w:rsidDel="00000000" w:rsidR="00000000" w:rsidRPr="00000000">
        <w:rPr>
          <w:b w:val="1"/>
          <w:rtl w:val="0"/>
        </w:rPr>
        <w:t xml:space="preserve">Milliy Malaka Doirasi (MQD) bilan moslik</w:t>
        <w:br w:type="textWrapping"/>
      </w:r>
      <w:r w:rsidDel="00000000" w:rsidR="00000000" w:rsidRPr="00000000">
        <w:rPr>
          <w:rtl w:val="0"/>
        </w:rPr>
        <w:t xml:space="preserve"> Ta’lim dasturlari Milliy Malaka Doirasi darajalari (bilim, ko‘nikma va kompetensiyalar) bilan mos kelishi lozim.</w:t>
      </w:r>
    </w:p>
    <w:p w:rsidR="00000000" w:rsidDel="00000000" w:rsidP="00000000" w:rsidRDefault="00000000" w:rsidRPr="00000000" w14:paraId="00000018">
      <w:pPr>
        <w:spacing w:after="240" w:before="240" w:lineRule="auto"/>
        <w:ind w:left="-283.46456692913375" w:right="-419.5275590551165" w:firstLine="0"/>
        <w:jc w:val="both"/>
        <w:rPr/>
      </w:pPr>
      <w:r w:rsidDel="00000000" w:rsidR="00000000" w:rsidRPr="00000000">
        <w:rPr>
          <w:b w:val="1"/>
          <w:rtl w:val="0"/>
        </w:rPr>
        <w:t xml:space="preserve">Ichki sifatni ta’minlash tizimi</w:t>
        <w:br w:type="textWrapping"/>
      </w:r>
      <w:r w:rsidDel="00000000" w:rsidR="00000000" w:rsidRPr="00000000">
        <w:rPr>
          <w:rtl w:val="0"/>
        </w:rPr>
        <w:t xml:space="preserve"> Har bir oliy ta’lim muassasasida sifatni ta’minlash bo‘limi bo‘lib, siyosat ishlab chiqish, joriy etishni monitoring qilish va natijalarni hisobot qilish bilan shug‘ullanadi.</w:t>
      </w:r>
    </w:p>
    <w:p w:rsidR="00000000" w:rsidDel="00000000" w:rsidP="00000000" w:rsidRDefault="00000000" w:rsidRPr="00000000" w14:paraId="00000019">
      <w:pPr>
        <w:spacing w:after="240" w:before="240" w:lineRule="auto"/>
        <w:ind w:left="-283.46456692913375" w:right="-419.5275590551165" w:firstLine="0"/>
        <w:jc w:val="both"/>
        <w:rPr/>
      </w:pPr>
      <w:r w:rsidDel="00000000" w:rsidR="00000000" w:rsidRPr="00000000">
        <w:rPr>
          <w:b w:val="1"/>
          <w:rtl w:val="0"/>
        </w:rPr>
        <w:t xml:space="preserve">Natijaga yo‘naltirilgan ta’lim (Outcome-Based Education)</w:t>
        <w:br w:type="textWrapping"/>
      </w:r>
      <w:r w:rsidDel="00000000" w:rsidR="00000000" w:rsidRPr="00000000">
        <w:rPr>
          <w:rtl w:val="0"/>
        </w:rPr>
        <w:t xml:space="preserve"> O‘quv natijalari va mehnat bozoriga mos bitiruvchilar kompetensiyalariga urg‘u beriladi.</w:t>
      </w:r>
    </w:p>
    <w:p w:rsidR="00000000" w:rsidDel="00000000" w:rsidP="00000000" w:rsidRDefault="00000000" w:rsidRPr="00000000" w14:paraId="0000001A">
      <w:pPr>
        <w:spacing w:after="240" w:before="240" w:lineRule="auto"/>
        <w:ind w:left="-283.46456692913375" w:right="-419.5275590551165" w:firstLine="0"/>
        <w:jc w:val="both"/>
        <w:rPr/>
      </w:pPr>
      <w:r w:rsidDel="00000000" w:rsidR="00000000" w:rsidRPr="00000000">
        <w:rPr>
          <w:b w:val="1"/>
          <w:rtl w:val="0"/>
        </w:rPr>
        <w:t xml:space="preserve">O‘quv rejasini loyihalash va tasdiqlash</w:t>
        <w:br w:type="textWrapping"/>
      </w:r>
      <w:r w:rsidDel="00000000" w:rsidR="00000000" w:rsidRPr="00000000">
        <w:rPr>
          <w:rtl w:val="0"/>
        </w:rPr>
        <w:t xml:space="preserve"> Modulli o‘quv dasturlari joriy qilinadi; dasturlarni ishlab chiqishda ish beruvchilar, talabalar kabi manfaatdor tomonlar ishtirok etadi.</w:t>
      </w:r>
    </w:p>
    <w:p w:rsidR="00000000" w:rsidDel="00000000" w:rsidP="00000000" w:rsidRDefault="00000000" w:rsidRPr="00000000" w14:paraId="0000001B">
      <w:pPr>
        <w:spacing w:after="240" w:before="240" w:lineRule="auto"/>
        <w:ind w:left="-283.46456692913375" w:right="-419.5275590551165" w:firstLine="0"/>
        <w:jc w:val="both"/>
        <w:rPr/>
      </w:pPr>
      <w:r w:rsidDel="00000000" w:rsidR="00000000" w:rsidRPr="00000000">
        <w:rPr>
          <w:b w:val="1"/>
          <w:rtl w:val="0"/>
        </w:rPr>
        <w:t xml:space="preserve">O‘qitish va o‘rganish jarayonlari</w:t>
        <w:br w:type="textWrapping"/>
      </w:r>
      <w:r w:rsidDel="00000000" w:rsidR="00000000" w:rsidRPr="00000000">
        <w:rPr>
          <w:rtl w:val="0"/>
        </w:rPr>
        <w:t xml:space="preserve"> Innovatsion o‘qitish uslublari, raqamli texnologiyalar va talabaga yo‘naltirilgan yondashuvlarni qo‘llash rag‘batlantiriladi.</w:t>
      </w:r>
    </w:p>
    <w:p w:rsidR="00000000" w:rsidDel="00000000" w:rsidP="00000000" w:rsidRDefault="00000000" w:rsidRPr="00000000" w14:paraId="0000001C">
      <w:pPr>
        <w:spacing w:after="240" w:before="240" w:lineRule="auto"/>
        <w:ind w:left="-283.46456692913375" w:right="-419.5275590551165" w:firstLine="0"/>
        <w:jc w:val="both"/>
        <w:rPr/>
      </w:pPr>
      <w:r w:rsidDel="00000000" w:rsidR="00000000" w:rsidRPr="00000000">
        <w:rPr>
          <w:b w:val="1"/>
          <w:rtl w:val="0"/>
        </w:rPr>
        <w:t xml:space="preserve">Baholash va natijalarni aniqlash</w:t>
        <w:br w:type="textWrapping"/>
      </w:r>
      <w:r w:rsidDel="00000000" w:rsidR="00000000" w:rsidRPr="00000000">
        <w:rPr>
          <w:rtl w:val="0"/>
        </w:rPr>
        <w:t xml:space="preserve"> Baholash tizimi shaffof va adolatli bo‘lib, formatif va summativ yondashuvlarga asoslanadi.</w:t>
      </w:r>
    </w:p>
    <w:p w:rsidR="00000000" w:rsidDel="00000000" w:rsidP="00000000" w:rsidRDefault="00000000" w:rsidRPr="00000000" w14:paraId="0000001D">
      <w:pPr>
        <w:spacing w:after="240" w:before="240" w:lineRule="auto"/>
        <w:ind w:left="-283.46456692913375" w:right="-419.5275590551165" w:firstLine="0"/>
        <w:jc w:val="both"/>
        <w:rPr/>
      </w:pPr>
      <w:r w:rsidDel="00000000" w:rsidR="00000000" w:rsidRPr="00000000">
        <w:rPr>
          <w:b w:val="1"/>
          <w:rtl w:val="0"/>
        </w:rPr>
        <w:t xml:space="preserve">Kadrlar malakasi va rivoji</w:t>
        <w:br w:type="textWrapping"/>
      </w:r>
      <w:r w:rsidDel="00000000" w:rsidR="00000000" w:rsidRPr="00000000">
        <w:rPr>
          <w:rtl w:val="0"/>
        </w:rPr>
        <w:t xml:space="preserve"> O‘qituvchilar doimiy ravishda kasbiy rivojdan o‘tishlari kerak, ularning tanlovi ilmiy va pedagogik kompetensiyalar asosida amalga oshiriladi.</w:t>
      </w:r>
    </w:p>
    <w:p w:rsidR="00000000" w:rsidDel="00000000" w:rsidP="00000000" w:rsidRDefault="00000000" w:rsidRPr="00000000" w14:paraId="0000001E">
      <w:pPr>
        <w:spacing w:after="240" w:before="240" w:lineRule="auto"/>
        <w:ind w:left="-283.46456692913375" w:right="-419.5275590551165" w:firstLine="0"/>
        <w:jc w:val="both"/>
        <w:rPr/>
      </w:pPr>
      <w:r w:rsidDel="00000000" w:rsidR="00000000" w:rsidRPr="00000000">
        <w:rPr>
          <w:b w:val="1"/>
          <w:rtl w:val="0"/>
        </w:rPr>
        <w:t xml:space="preserve">Talabalarni qo‘llab-quvvatlash xizmatlari</w:t>
        <w:br w:type="textWrapping"/>
      </w:r>
      <w:r w:rsidDel="00000000" w:rsidR="00000000" w:rsidRPr="00000000">
        <w:rPr>
          <w:rtl w:val="0"/>
        </w:rPr>
        <w:t xml:space="preserve"> Maslahat, kasbiy yo‘naltirish va ta’limiy yordam ko‘rsatadigan xizmatlar taqdim etilishi lozim.</w:t>
      </w:r>
    </w:p>
    <w:p w:rsidR="00000000" w:rsidDel="00000000" w:rsidP="00000000" w:rsidRDefault="00000000" w:rsidRPr="00000000" w14:paraId="0000001F">
      <w:pPr>
        <w:spacing w:after="240" w:before="240" w:lineRule="auto"/>
        <w:ind w:left="-283.46456692913375" w:right="-419.5275590551165" w:firstLine="0"/>
        <w:jc w:val="both"/>
        <w:rPr/>
      </w:pPr>
      <w:r w:rsidDel="00000000" w:rsidR="00000000" w:rsidRPr="00000000">
        <w:rPr>
          <w:b w:val="1"/>
          <w:rtl w:val="0"/>
        </w:rPr>
        <w:t xml:space="preserve">Ma’lumotlar va axborotni boshqarish</w:t>
        <w:br w:type="textWrapping"/>
      </w:r>
      <w:r w:rsidDel="00000000" w:rsidR="00000000" w:rsidRPr="00000000">
        <w:rPr>
          <w:rtl w:val="0"/>
        </w:rPr>
        <w:t xml:space="preserve"> Ta’lim sifati monitoringi va hisobotlar uchun zarur bo‘lgan akademik ma’lumotlar yig‘ilishi va tahlil qilinishi shart.</w:t>
      </w:r>
    </w:p>
    <w:p w:rsidR="00000000" w:rsidDel="00000000" w:rsidP="00000000" w:rsidRDefault="00000000" w:rsidRPr="00000000" w14:paraId="00000020">
      <w:pPr>
        <w:spacing w:after="240" w:before="240" w:lineRule="auto"/>
        <w:ind w:left="-283.46456692913375" w:right="-419.5275590551165" w:firstLine="0"/>
        <w:jc w:val="both"/>
        <w:rPr/>
      </w:pPr>
      <w:r w:rsidDel="00000000" w:rsidR="00000000" w:rsidRPr="00000000">
        <w:rPr>
          <w:b w:val="1"/>
          <w:rtl w:val="0"/>
        </w:rPr>
        <w:t xml:space="preserve">Jamoatchilik oldida hisobdorlik</w:t>
        <w:br w:type="textWrapping"/>
      </w:r>
      <w:r w:rsidDel="00000000" w:rsidR="00000000" w:rsidRPr="00000000">
        <w:rPr>
          <w:rtl w:val="0"/>
        </w:rPr>
        <w:t xml:space="preserve"> Oliy ta’lim muassasalari o‘z faoliyati, akkreditatsiya holati va bitiruvchilar bandligi haqida muntazam ravishda ma’lumot e’lon qilishlari lozim.</w:t>
      </w:r>
    </w:p>
    <w:p w:rsidR="00000000" w:rsidDel="00000000" w:rsidP="00000000" w:rsidRDefault="00000000" w:rsidRPr="00000000" w14:paraId="00000021">
      <w:pPr>
        <w:spacing w:after="240" w:before="240" w:lineRule="auto"/>
        <w:ind w:left="-283.46456692913375" w:right="-419.5275590551165" w:firstLine="0"/>
        <w:jc w:val="both"/>
        <w:rPr/>
      </w:pPr>
      <w:r w:rsidDel="00000000" w:rsidR="00000000" w:rsidRPr="00000000">
        <w:rPr>
          <w:b w:val="1"/>
          <w:rtl w:val="0"/>
        </w:rPr>
        <w:t xml:space="preserve">Tashqi sifatni ta’minlash</w:t>
        <w:br w:type="textWrapping"/>
      </w:r>
      <w:r w:rsidDel="00000000" w:rsidR="00000000" w:rsidRPr="00000000">
        <w:rPr>
          <w:rtl w:val="0"/>
        </w:rPr>
        <w:t xml:space="preserve"> Muassasalar Davlat inspeksiyasi yoki mustaqil agentliklar tomonidan institutsional va dasturiy akkreditatsiyadan o‘tadi.</w:t>
      </w:r>
    </w:p>
    <w:p w:rsidR="00000000" w:rsidDel="00000000" w:rsidP="00000000" w:rsidRDefault="00000000" w:rsidRPr="00000000" w14:paraId="00000022">
      <w:pPr>
        <w:ind w:left="-283.46456692913375" w:right="-419.5275590551165" w:firstLine="0"/>
        <w:jc w:val="both"/>
        <w:rPr/>
      </w:pPr>
      <w:r w:rsidDel="00000000" w:rsidR="00000000" w:rsidRPr="00000000">
        <w:rPr>
          <w:rtl w:val="0"/>
        </w:rPr>
      </w:r>
    </w:p>
    <w:p w:rsidR="00000000" w:rsidDel="00000000" w:rsidP="00000000" w:rsidRDefault="00000000" w:rsidRPr="00000000" w14:paraId="00000023">
      <w:pPr>
        <w:ind w:left="-283.46456692913375" w:right="-419.5275590551165" w:firstLine="0"/>
        <w:jc w:val="both"/>
        <w:rPr/>
      </w:pPr>
      <w:r w:rsidDel="00000000" w:rsidR="00000000" w:rsidRPr="00000000">
        <w:rPr>
          <w:rtl w:val="0"/>
        </w:rPr>
      </w:r>
    </w:p>
    <w:p w:rsidR="00000000" w:rsidDel="00000000" w:rsidP="00000000" w:rsidRDefault="00000000" w:rsidRPr="00000000" w14:paraId="00000024">
      <w:pPr>
        <w:ind w:left="-283.46456692913375" w:right="-419.5275590551165" w:firstLine="0"/>
        <w:jc w:val="both"/>
        <w:rPr/>
      </w:pPr>
      <w:r w:rsidDel="00000000" w:rsidR="00000000" w:rsidRPr="00000000">
        <w:rPr>
          <w:rtl w:val="0"/>
        </w:rPr>
      </w:r>
    </w:p>
    <w:p w:rsidR="00000000" w:rsidDel="00000000" w:rsidP="00000000" w:rsidRDefault="00000000" w:rsidRPr="00000000" w14:paraId="00000025">
      <w:pPr>
        <w:ind w:left="-283.46456692913375" w:right="-419.5275590551165" w:firstLine="0"/>
        <w:jc w:val="both"/>
        <w:rPr/>
      </w:pPr>
      <w:r w:rsidDel="00000000" w:rsidR="00000000" w:rsidRPr="00000000">
        <w:rPr>
          <w:rtl w:val="0"/>
        </w:rPr>
      </w:r>
    </w:p>
    <w:p w:rsidR="00000000" w:rsidDel="00000000" w:rsidP="00000000" w:rsidRDefault="00000000" w:rsidRPr="00000000" w14:paraId="00000026">
      <w:pPr>
        <w:ind w:left="-283.46456692913375" w:right="-419.5275590551165" w:firstLine="0"/>
        <w:jc w:val="both"/>
        <w:rPr/>
      </w:pPr>
      <w:r w:rsidDel="00000000" w:rsidR="00000000" w:rsidRPr="00000000">
        <w:rPr>
          <w:rtl w:val="0"/>
        </w:rPr>
      </w:r>
    </w:p>
    <w:p w:rsidR="00000000" w:rsidDel="00000000" w:rsidP="00000000" w:rsidRDefault="00000000" w:rsidRPr="00000000" w14:paraId="00000027">
      <w:pPr>
        <w:ind w:left="-283.46456692913375" w:right="-419.5275590551165" w:firstLine="0"/>
        <w:jc w:val="both"/>
        <w:rPr/>
      </w:pPr>
      <w:r w:rsidDel="00000000" w:rsidR="00000000" w:rsidRPr="00000000">
        <w:rPr>
          <w:rtl w:val="0"/>
        </w:rPr>
      </w:r>
    </w:p>
    <w:p w:rsidR="00000000" w:rsidDel="00000000" w:rsidP="00000000" w:rsidRDefault="00000000" w:rsidRPr="00000000" w14:paraId="00000028">
      <w:pPr>
        <w:ind w:left="-283.46456692913375" w:right="-419.5275590551165" w:firstLine="0"/>
        <w:jc w:val="both"/>
        <w:rPr/>
      </w:pPr>
      <w:r w:rsidDel="00000000" w:rsidR="00000000" w:rsidRPr="00000000">
        <w:rPr>
          <w:rtl w:val="0"/>
        </w:rPr>
      </w:r>
    </w:p>
    <w:p w:rsidR="00000000" w:rsidDel="00000000" w:rsidP="00000000" w:rsidRDefault="00000000" w:rsidRPr="00000000" w14:paraId="00000029">
      <w:pPr>
        <w:ind w:left="-283.46456692913375" w:right="-419.5275590551165" w:firstLine="0"/>
        <w:jc w:val="both"/>
        <w:rPr/>
      </w:pPr>
      <w:r w:rsidDel="00000000" w:rsidR="00000000" w:rsidRPr="00000000">
        <w:rPr>
          <w:rtl w:val="0"/>
        </w:rPr>
      </w:r>
    </w:p>
    <w:p w:rsidR="00000000" w:rsidDel="00000000" w:rsidP="00000000" w:rsidRDefault="00000000" w:rsidRPr="00000000" w14:paraId="0000002A">
      <w:pPr>
        <w:ind w:left="-283.46456692913375" w:right="-419.5275590551165" w:firstLine="0"/>
        <w:jc w:val="both"/>
        <w:rPr/>
      </w:pPr>
      <w:r w:rsidDel="00000000" w:rsidR="00000000" w:rsidRPr="00000000">
        <w:rPr>
          <w:rtl w:val="0"/>
        </w:rPr>
      </w:r>
    </w:p>
    <w:p w:rsidR="00000000" w:rsidDel="00000000" w:rsidP="00000000" w:rsidRDefault="00000000" w:rsidRPr="00000000" w14:paraId="0000002B">
      <w:pPr>
        <w:ind w:left="-283.46456692913375" w:right="-419.5275590551165" w:firstLine="0"/>
        <w:jc w:val="both"/>
        <w:rPr/>
      </w:pPr>
      <w:r w:rsidDel="00000000" w:rsidR="00000000" w:rsidRPr="00000000">
        <w:rPr>
          <w:rtl w:val="0"/>
        </w:rPr>
      </w:r>
    </w:p>
    <w:p w:rsidR="00000000" w:rsidDel="00000000" w:rsidP="00000000" w:rsidRDefault="00000000" w:rsidRPr="00000000" w14:paraId="0000002C">
      <w:pPr>
        <w:ind w:left="-283.46456692913375" w:right="-419.5275590551165" w:firstLine="0"/>
        <w:jc w:val="both"/>
        <w:rPr/>
      </w:pPr>
      <w:r w:rsidDel="00000000" w:rsidR="00000000" w:rsidRPr="00000000">
        <w:rPr>
          <w:rtl w:val="0"/>
        </w:rPr>
      </w:r>
    </w:p>
    <w:p w:rsidR="00000000" w:rsidDel="00000000" w:rsidP="00000000" w:rsidRDefault="00000000" w:rsidRPr="00000000" w14:paraId="0000002D">
      <w:pPr>
        <w:ind w:left="-283.46456692913375" w:right="-419.5275590551165" w:firstLine="0"/>
        <w:jc w:val="both"/>
        <w:rPr/>
      </w:pPr>
      <w:r w:rsidDel="00000000" w:rsidR="00000000" w:rsidRPr="00000000">
        <w:rPr>
          <w:rtl w:val="0"/>
        </w:rPr>
      </w:r>
    </w:p>
    <w:p w:rsidR="00000000" w:rsidDel="00000000" w:rsidP="00000000" w:rsidRDefault="00000000" w:rsidRPr="00000000" w14:paraId="0000002E">
      <w:pPr>
        <w:ind w:left="-283.46456692913375" w:right="-419.5275590551165" w:firstLine="0"/>
        <w:jc w:val="both"/>
        <w:rPr/>
      </w:pPr>
      <w:r w:rsidDel="00000000" w:rsidR="00000000" w:rsidRPr="00000000">
        <w:rPr>
          <w:rtl w:val="0"/>
        </w:rPr>
      </w:r>
    </w:p>
    <w:p w:rsidR="00000000" w:rsidDel="00000000" w:rsidP="00000000" w:rsidRDefault="00000000" w:rsidRPr="00000000" w14:paraId="0000002F">
      <w:pPr>
        <w:ind w:left="-283.46456692913375" w:right="-419.5275590551165" w:firstLine="0"/>
        <w:jc w:val="both"/>
        <w:rPr/>
      </w:pPr>
      <w:r w:rsidDel="00000000" w:rsidR="00000000" w:rsidRPr="00000000">
        <w:rPr>
          <w:rtl w:val="0"/>
        </w:rPr>
      </w:r>
    </w:p>
    <w:p w:rsidR="00000000" w:rsidDel="00000000" w:rsidP="00000000" w:rsidRDefault="00000000" w:rsidRPr="00000000" w14:paraId="00000030">
      <w:pPr>
        <w:ind w:left="-283.46456692913375" w:right="-419.5275590551165" w:firstLine="0"/>
        <w:jc w:val="both"/>
        <w:rPr/>
      </w:pPr>
      <w:r w:rsidDel="00000000" w:rsidR="00000000" w:rsidRPr="00000000">
        <w:rPr>
          <w:rtl w:val="0"/>
        </w:rPr>
      </w:r>
    </w:p>
    <w:p w:rsidR="00000000" w:rsidDel="00000000" w:rsidP="00000000" w:rsidRDefault="00000000" w:rsidRPr="00000000" w14:paraId="00000031">
      <w:pPr>
        <w:ind w:left="-283.46456692913375" w:right="-419.5275590551165" w:firstLine="0"/>
        <w:jc w:val="both"/>
        <w:rPr/>
      </w:pPr>
      <w:r w:rsidDel="00000000" w:rsidR="00000000" w:rsidRPr="00000000">
        <w:rPr>
          <w:rtl w:val="0"/>
        </w:rPr>
      </w:r>
    </w:p>
    <w:p w:rsidR="00000000" w:rsidDel="00000000" w:rsidP="00000000" w:rsidRDefault="00000000" w:rsidRPr="00000000" w14:paraId="00000032">
      <w:pPr>
        <w:ind w:left="-283.46456692913375" w:right="-419.5275590551165" w:firstLine="0"/>
        <w:jc w:val="both"/>
        <w:rPr/>
      </w:pPr>
      <w:r w:rsidDel="00000000" w:rsidR="00000000" w:rsidRPr="00000000">
        <w:rPr>
          <w:rtl w:val="0"/>
        </w:rPr>
      </w:r>
    </w:p>
    <w:p w:rsidR="00000000" w:rsidDel="00000000" w:rsidP="00000000" w:rsidRDefault="00000000" w:rsidRPr="00000000" w14:paraId="00000033">
      <w:pPr>
        <w:ind w:left="-283.46456692913375" w:right="-419.5275590551165" w:firstLine="0"/>
        <w:jc w:val="both"/>
        <w:rPr/>
      </w:pPr>
      <w:r w:rsidDel="00000000" w:rsidR="00000000" w:rsidRPr="00000000">
        <w:rPr>
          <w:rtl w:val="0"/>
        </w:rPr>
      </w:r>
    </w:p>
    <w:p w:rsidR="00000000" w:rsidDel="00000000" w:rsidP="00000000" w:rsidRDefault="00000000" w:rsidRPr="00000000" w14:paraId="00000034">
      <w:pPr>
        <w:ind w:left="-283.46456692913375" w:right="-419.5275590551165" w:firstLine="0"/>
        <w:jc w:val="both"/>
        <w:rPr/>
      </w:pPr>
      <w:r w:rsidDel="00000000" w:rsidR="00000000" w:rsidRPr="00000000">
        <w:rPr>
          <w:rtl w:val="0"/>
        </w:rPr>
      </w:r>
    </w:p>
    <w:p w:rsidR="00000000" w:rsidDel="00000000" w:rsidP="00000000" w:rsidRDefault="00000000" w:rsidRPr="00000000" w14:paraId="00000035">
      <w:pPr>
        <w:ind w:left="-283.46456692913375" w:right="-419.5275590551165" w:firstLine="0"/>
        <w:jc w:val="both"/>
        <w:rPr/>
      </w:pPr>
      <w:r w:rsidDel="00000000" w:rsidR="00000000" w:rsidRPr="00000000">
        <w:rPr>
          <w:rtl w:val="0"/>
        </w:rPr>
      </w:r>
    </w:p>
    <w:p w:rsidR="00000000" w:rsidDel="00000000" w:rsidP="00000000" w:rsidRDefault="00000000" w:rsidRPr="00000000" w14:paraId="00000036">
      <w:pPr>
        <w:ind w:left="-283.46456692913375" w:right="-419.5275590551165" w:firstLine="0"/>
        <w:jc w:val="both"/>
        <w:rPr/>
      </w:pPr>
      <w:r w:rsidDel="00000000" w:rsidR="00000000" w:rsidRPr="00000000">
        <w:rPr>
          <w:rtl w:val="0"/>
        </w:rPr>
      </w:r>
    </w:p>
    <w:p w:rsidR="00000000" w:rsidDel="00000000" w:rsidP="00000000" w:rsidRDefault="00000000" w:rsidRPr="00000000" w14:paraId="00000037">
      <w:pPr>
        <w:ind w:left="-283.46456692913375" w:right="-419.5275590551165" w:firstLine="0"/>
        <w:jc w:val="both"/>
        <w:rPr/>
      </w:pPr>
      <w:r w:rsidDel="00000000" w:rsidR="00000000" w:rsidRPr="00000000">
        <w:rPr>
          <w:rtl w:val="0"/>
        </w:rPr>
      </w:r>
    </w:p>
    <w:p w:rsidR="00000000" w:rsidDel="00000000" w:rsidP="00000000" w:rsidRDefault="00000000" w:rsidRPr="00000000" w14:paraId="00000038">
      <w:pPr>
        <w:ind w:left="-283.46456692913375" w:right="-419.5275590551165" w:firstLine="0"/>
        <w:jc w:val="both"/>
        <w:rPr/>
      </w:pPr>
      <w:r w:rsidDel="00000000" w:rsidR="00000000" w:rsidRPr="00000000">
        <w:rPr>
          <w:rtl w:val="0"/>
        </w:rPr>
      </w:r>
    </w:p>
    <w:p w:rsidR="00000000" w:rsidDel="00000000" w:rsidP="00000000" w:rsidRDefault="00000000" w:rsidRPr="00000000" w14:paraId="00000039">
      <w:pPr>
        <w:ind w:left="-283.46456692913375" w:right="-419.5275590551165" w:firstLine="0"/>
        <w:jc w:val="both"/>
        <w:rPr/>
      </w:pPr>
      <w:r w:rsidDel="00000000" w:rsidR="00000000" w:rsidRPr="00000000">
        <w:rPr>
          <w:rtl w:val="0"/>
        </w:rPr>
      </w:r>
    </w:p>
    <w:p w:rsidR="00000000" w:rsidDel="00000000" w:rsidP="00000000" w:rsidRDefault="00000000" w:rsidRPr="00000000" w14:paraId="0000003A">
      <w:pPr>
        <w:ind w:left="-283.46456692913375" w:right="-419.5275590551165" w:firstLine="0"/>
        <w:jc w:val="both"/>
        <w:rPr/>
      </w:pPr>
      <w:r w:rsidDel="00000000" w:rsidR="00000000" w:rsidRPr="00000000">
        <w:rPr>
          <w:rtl w:val="0"/>
        </w:rPr>
      </w:r>
    </w:p>
    <w:p w:rsidR="00000000" w:rsidDel="00000000" w:rsidP="00000000" w:rsidRDefault="00000000" w:rsidRPr="00000000" w14:paraId="0000003B">
      <w:pPr>
        <w:ind w:left="-283.46456692913375" w:right="-419.5275590551165" w:firstLine="0"/>
        <w:jc w:val="both"/>
        <w:rPr/>
      </w:pPr>
      <w:r w:rsidDel="00000000" w:rsidR="00000000" w:rsidRPr="00000000">
        <w:rPr>
          <w:rtl w:val="0"/>
        </w:rPr>
      </w:r>
    </w:p>
    <w:p w:rsidR="00000000" w:rsidDel="00000000" w:rsidP="00000000" w:rsidRDefault="00000000" w:rsidRPr="00000000" w14:paraId="0000003C">
      <w:pPr>
        <w:ind w:left="-283.46456692913375" w:right="-419.5275590551165" w:firstLine="0"/>
        <w:jc w:val="both"/>
        <w:rPr/>
      </w:pPr>
      <w:r w:rsidDel="00000000" w:rsidR="00000000" w:rsidRPr="00000000">
        <w:rPr>
          <w:rtl w:val="0"/>
        </w:rPr>
      </w:r>
    </w:p>
    <w:p w:rsidR="00000000" w:rsidDel="00000000" w:rsidP="00000000" w:rsidRDefault="00000000" w:rsidRPr="00000000" w14:paraId="0000003D">
      <w:pPr>
        <w:ind w:left="-283.46456692913375" w:right="-419.5275590551165" w:firstLine="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-666749</wp:posOffset>
            </wp:positionH>
            <wp:positionV relativeFrom="page">
              <wp:posOffset>1328738</wp:posOffset>
            </wp:positionV>
            <wp:extent cx="9144000" cy="709612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rot="16200000">
                      <a:off x="0" y="0"/>
                      <a:ext cx="9144000" cy="7096125"/>
                    </a:xfrm>
                    <a:prstGeom prst="rect"/>
                    <a:ln/>
                  </pic:spPr>
                </pic:pic>
              </a:graphicData>
            </a:graphic>
          </wp:anchor>
        </w:drawing>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after="160" w:line="256" w:lineRule="auto"/>
      <w:rPr/>
    </w:pPr>
    <w:r w:rsidDel="00000000" w:rsidR="00000000" w:rsidRPr="00000000">
      <w:rPr>
        <w:rFonts w:ascii="Calibri" w:cs="Calibri" w:eastAsia="Calibri" w:hAnsi="Calibri"/>
        <w:i w:val="1"/>
        <w:color w:val="262626"/>
        <w:sz w:val="16"/>
        <w:szCs w:val="16"/>
        <w:rtl w:val="0"/>
      </w:rPr>
      <w:t xml:space="preserve">“Co-funded by the European Union. Views and opinions expressed are however those of the author(s) only and do not necessarily reflect those of the European Union. Neither the European Union nor the granting authority can be.”</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